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07" w:rsidRDefault="004B040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B0407" w:rsidRDefault="004B0407">
      <w:pPr>
        <w:pStyle w:val="ConsPlusNormal"/>
        <w:jc w:val="both"/>
      </w:pPr>
    </w:p>
    <w:p w:rsidR="004B0407" w:rsidRDefault="004B0407">
      <w:pPr>
        <w:pStyle w:val="ConsPlusTitle"/>
        <w:jc w:val="center"/>
      </w:pPr>
      <w:r>
        <w:t>ФЕДЕРАЛЬНАЯ АНТИМОНОПОЛЬНАЯ СЛУЖБА</w:t>
      </w:r>
    </w:p>
    <w:p w:rsidR="004B0407" w:rsidRDefault="004B0407">
      <w:pPr>
        <w:pStyle w:val="ConsPlusTitle"/>
        <w:jc w:val="center"/>
      </w:pPr>
    </w:p>
    <w:p w:rsidR="004B0407" w:rsidRDefault="004B0407">
      <w:pPr>
        <w:pStyle w:val="ConsPlusTitle"/>
        <w:jc w:val="center"/>
      </w:pPr>
      <w:r>
        <w:t>ПИСЬМО</w:t>
      </w:r>
    </w:p>
    <w:p w:rsidR="004B0407" w:rsidRDefault="004B0407">
      <w:pPr>
        <w:pStyle w:val="ConsPlusTitle"/>
        <w:jc w:val="center"/>
      </w:pPr>
      <w:r>
        <w:t>от 19 октября 2015 г. N АЦ/57532/15</w:t>
      </w:r>
    </w:p>
    <w:p w:rsidR="004B0407" w:rsidRDefault="004B0407">
      <w:pPr>
        <w:pStyle w:val="ConsPlusTitle"/>
        <w:jc w:val="center"/>
      </w:pPr>
    </w:p>
    <w:p w:rsidR="004B0407" w:rsidRDefault="004B0407">
      <w:pPr>
        <w:pStyle w:val="ConsPlusTitle"/>
        <w:jc w:val="center"/>
      </w:pPr>
      <w:r>
        <w:t>О ПОРЯДКЕ ОЦЕНКИ ЗАЯВОК НА УЧАСТИЕ В ЗАКУПКЕ</w:t>
      </w:r>
    </w:p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ФАС России на основании </w:t>
      </w:r>
      <w:hyperlink r:id="rId7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об установлении заказчиком</w:t>
      </w:r>
      <w:proofErr w:type="gramEnd"/>
      <w:r>
        <w:t xml:space="preserve"> в документации о закупке порядка оценки заявок по нестоимостным критериям.</w:t>
      </w:r>
    </w:p>
    <w:p w:rsidR="004B0407" w:rsidRDefault="004B0407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пункту 9 части 1 статьи 50</w:t>
        </w:r>
      </w:hyperlink>
      <w:r>
        <w:t xml:space="preserve">, </w:t>
      </w:r>
      <w:hyperlink r:id="rId9" w:history="1">
        <w:r>
          <w:rPr>
            <w:color w:val="0000FF"/>
          </w:rPr>
          <w:t>пункту 7 части 6 статьи 83</w:t>
        </w:r>
      </w:hyperlink>
      <w:r>
        <w:t xml:space="preserve"> Закона N 44-ФЗ документация о закупке должна содержать критерии оценки заявок (предложений) на участие в закупке, величины значимости этих критериев, порядок рассмотрения и оценки таких заявок (предложений).</w:t>
      </w:r>
    </w:p>
    <w:p w:rsidR="004B0407" w:rsidRDefault="004B040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частью 8 статьи 32</w:t>
        </w:r>
      </w:hyperlink>
      <w:r>
        <w:t xml:space="preserve"> Закона N 44-ФЗ порядок оценки заявок, окончательных предложений участников закупки, в том числе предельные величины значимости каждого критерия, устанавливаются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28.11.2013 N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(далее - Правила).</w:t>
      </w:r>
      <w:proofErr w:type="gramEnd"/>
    </w:p>
    <w:p w:rsidR="004B0407" w:rsidRDefault="004B0407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пунктом 4</w:t>
        </w:r>
      </w:hyperlink>
      <w:r>
        <w:t xml:space="preserve"> Правил для оценки заявок (предложений) заказчик устанавливает в документации о закупке стоимостные критерии оценки (в том числе, цена контракта), а также нестоимостные критерии оценки (качественные, функциональные и экологические характеристики объекта закупки, а также квалификация участников закупки). При этом </w:t>
      </w:r>
      <w:hyperlink r:id="rId13" w:history="1">
        <w:r>
          <w:rPr>
            <w:color w:val="0000FF"/>
          </w:rPr>
          <w:t>пунктом 10</w:t>
        </w:r>
      </w:hyperlink>
      <w:r>
        <w:t xml:space="preserve"> Правил установлено, что в документации о закупке в отношении нестоимостных критериев оценки могут быть предусмотрены показатели, раскрывающие содержание нестоимостных критериев оценки и учитывающие особенности оценки закупаемых товаров, работ, услуг по нестоимостным критериям оценки.</w:t>
      </w:r>
    </w:p>
    <w:p w:rsidR="004B0407" w:rsidRDefault="004B0407">
      <w:pPr>
        <w:pStyle w:val="ConsPlusNormal"/>
        <w:ind w:firstLine="540"/>
        <w:jc w:val="both"/>
      </w:pPr>
      <w:r>
        <w:t xml:space="preserve">В соответствии с положениями </w:t>
      </w:r>
      <w:hyperlink r:id="rId14" w:history="1">
        <w:r>
          <w:rPr>
            <w:color w:val="0000FF"/>
          </w:rPr>
          <w:t>пункта 8</w:t>
        </w:r>
      </w:hyperlink>
      <w:r>
        <w:t xml:space="preserve"> Правил для оценки заявок (предложений) заказчик устанавливает в документации о закупке не менее двух критериев оценки, одним из которых должен быть критерий "цена контракта". Следовательно, заказчик для оценки заявок (предложений) на участие в закупке вправе установить в документации о закупке как один из нестоимостных критериев, так и оба нестоимостных критерия.</w:t>
      </w:r>
    </w:p>
    <w:p w:rsidR="004B0407" w:rsidRDefault="004B0407">
      <w:pPr>
        <w:pStyle w:val="ConsPlusNormal"/>
        <w:ind w:firstLine="540"/>
        <w:jc w:val="both"/>
      </w:pPr>
      <w:r>
        <w:t xml:space="preserve">Согласно </w:t>
      </w:r>
      <w:hyperlink r:id="rId15" w:history="1">
        <w:r>
          <w:rPr>
            <w:color w:val="0000FF"/>
          </w:rPr>
          <w:t>пункту 3</w:t>
        </w:r>
      </w:hyperlink>
      <w:r>
        <w:t xml:space="preserve"> Правил "оценка" - процесс выявления по критериям оценки и в порядке, установленном в документации о закупке, лучших условий исполнения контракта, указанных в заявках (предложениях) участников закупки, которые не были отклонены.</w:t>
      </w:r>
    </w:p>
    <w:p w:rsidR="004B0407" w:rsidRDefault="004B0407">
      <w:pPr>
        <w:pStyle w:val="ConsPlusNormal"/>
        <w:ind w:firstLine="540"/>
        <w:jc w:val="both"/>
      </w:pPr>
      <w:r>
        <w:t>1. На основании изложенного, в целях выявления лучшего условия исполнения контракта, порядок оценки заявок, устанавливаемый заказчиком в документации о закупке, должен содержать:</w:t>
      </w:r>
    </w:p>
    <w:p w:rsidR="004B0407" w:rsidRDefault="004B0407">
      <w:pPr>
        <w:pStyle w:val="ConsPlusNormal"/>
        <w:ind w:firstLine="540"/>
        <w:jc w:val="both"/>
      </w:pPr>
      <w:proofErr w:type="gramStart"/>
      <w:r>
        <w:t>1) предмет оценки, позволяющий определить исчерпывающий перечень сведений, подлежащих оценке комиссией заказчика по осуществлению закупок и соответственно подлежащих представлению участниками закупки в своих заявках для получения оценки по нестоимостным критериям;</w:t>
      </w:r>
      <w:proofErr w:type="gramEnd"/>
    </w:p>
    <w:p w:rsidR="004B0407" w:rsidRDefault="004B0407">
      <w:pPr>
        <w:pStyle w:val="ConsPlusNormal"/>
        <w:ind w:firstLine="540"/>
        <w:jc w:val="both"/>
      </w:pPr>
      <w:r>
        <w:t>2) инструкцию по заполнению заявки, позволяющую определить, какие именно сведения подлежат описанию и представлению участниками закупки для оценки комиссией заказчика по осуществлению закупок;</w:t>
      </w:r>
    </w:p>
    <w:p w:rsidR="004B0407" w:rsidRDefault="004B0407">
      <w:pPr>
        <w:pStyle w:val="ConsPlusNormal"/>
        <w:ind w:firstLine="540"/>
        <w:jc w:val="both"/>
      </w:pPr>
      <w:r>
        <w:t xml:space="preserve">3) зависимость (формула расчета количества баллов, предусмотренная Правилами, или шкала оценки) между количеством присваиваемых баллов и представляемыми сведениями по </w:t>
      </w:r>
      <w:r>
        <w:lastRenderedPageBreak/>
        <w:t>критерию "качественные, функциональные и экологические характеристики объекта закупки" (показателям критерия);</w:t>
      </w:r>
    </w:p>
    <w:p w:rsidR="004B0407" w:rsidRDefault="004B0407">
      <w:pPr>
        <w:pStyle w:val="ConsPlusNormal"/>
        <w:ind w:firstLine="540"/>
        <w:jc w:val="both"/>
      </w:pPr>
      <w:r>
        <w:t xml:space="preserve">4) зависимость (формула расчета количества баллов, предусмотренная </w:t>
      </w:r>
      <w:hyperlink r:id="rId16" w:history="1">
        <w:r>
          <w:rPr>
            <w:color w:val="0000FF"/>
          </w:rPr>
          <w:t>Правилами</w:t>
        </w:r>
      </w:hyperlink>
      <w:r>
        <w:t>, или шкала оценки, предусматривающая пропорциональное выставление баллов &lt;1&gt;) между количеством присваиваемых баллов и представляемыми сведениями по критерию "квалификация участников закупки" (показателям критерия), учитывая, что в отношении сведений, представляемых по указанному критерию, возможна количественная оценка.</w:t>
      </w:r>
    </w:p>
    <w:p w:rsidR="004B0407" w:rsidRDefault="004B0407">
      <w:pPr>
        <w:pStyle w:val="ConsPlusNormal"/>
        <w:ind w:firstLine="540"/>
        <w:jc w:val="both"/>
      </w:pPr>
      <w:r>
        <w:t>--------------------------------</w:t>
      </w:r>
    </w:p>
    <w:p w:rsidR="004B0407" w:rsidRDefault="004B0407">
      <w:pPr>
        <w:pStyle w:val="ConsPlusNormal"/>
        <w:ind w:firstLine="540"/>
        <w:jc w:val="both"/>
      </w:pPr>
      <w:r>
        <w:t>&lt;1&gt; Пропорциональными называются две величины, если отношение их значений остается неизменным.</w:t>
      </w:r>
    </w:p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ind w:firstLine="540"/>
        <w:jc w:val="both"/>
      </w:pPr>
      <w:r>
        <w:t xml:space="preserve">По мнению ФАС России, выявлению лучшего предложения об исполнении контракта в наибольшей степени способствует установление в порядке оценки заявок на участие в закупке формулы расчета количества баллов, </w:t>
      </w:r>
      <w:proofErr w:type="gramStart"/>
      <w:r>
        <w:t>предусмотренную</w:t>
      </w:r>
      <w:proofErr w:type="gramEnd"/>
      <w:r>
        <w:t xml:space="preserve"> </w:t>
      </w:r>
      <w:hyperlink r:id="rId17" w:history="1">
        <w:r>
          <w:rPr>
            <w:color w:val="0000FF"/>
          </w:rPr>
          <w:t>Правилами</w:t>
        </w:r>
      </w:hyperlink>
      <w:r>
        <w:t>, в случае если предметом оценки по нестоимостному критерию (показателю) является количество качественной, квалификационной характеристики (например, количество исполненных участником закупки контрактов).</w:t>
      </w:r>
    </w:p>
    <w:p w:rsidR="004B0407" w:rsidRDefault="004B0407">
      <w:pPr>
        <w:pStyle w:val="ConsPlusNormal"/>
        <w:ind w:firstLine="540"/>
        <w:jc w:val="both"/>
      </w:pPr>
      <w:r>
        <w:t xml:space="preserve">2. В соответствии с </w:t>
      </w:r>
      <w:hyperlink r:id="rId18" w:history="1">
        <w:r>
          <w:rPr>
            <w:color w:val="0000FF"/>
          </w:rPr>
          <w:t>пунктом 11</w:t>
        </w:r>
      </w:hyperlink>
      <w:r>
        <w:t xml:space="preserve"> Правил для оценки заявок (предложений) по каждому критерию оценки используется 100-балльная шкала оценки. </w:t>
      </w:r>
      <w:proofErr w:type="gramStart"/>
      <w:r>
        <w:t xml:space="preserve">Если в соответствии с </w:t>
      </w:r>
      <w:hyperlink r:id="rId19" w:history="1">
        <w:r>
          <w:rPr>
            <w:color w:val="0000FF"/>
          </w:rPr>
          <w:t>пунктом 10</w:t>
        </w:r>
      </w:hyperlink>
      <w:r>
        <w:t xml:space="preserve"> Правил в отношении критерия оценки в документации о закупке заказчиком предусматриваются показатели, то для каждого показателя устанавливается его значимость, в соответствии с которой будет производиться оценка, и формула расчета количества баллов, присуждаемых по таким показателям, или шкала предельных величин значимости показателей оценки, устанавливающая интервалы их изменений, или порядок их определения.</w:t>
      </w:r>
      <w:proofErr w:type="gramEnd"/>
      <w:r>
        <w:t xml:space="preserve"> Для оценки заявок (предложений) по нестоимостным критериям оценки (показателям) заказчик вправе устанавливать предельно необходимое минимальное или максимальное количественное значение качественных, функциональных, экологических и квалификационных характеристик, которые подлежат оценке в рамках указанных критериев. В этом случае при оценке заявок (предложений) по таким критериям (показателям) участникам закупки, сделавшим предложение, соответствующее такому значению, или лучшее предложение, присваивается 100 баллов. Сумма </w:t>
      </w:r>
      <w:proofErr w:type="gramStart"/>
      <w:r>
        <w:t>величин значимости показателей критерия оценки</w:t>
      </w:r>
      <w:proofErr w:type="gramEnd"/>
      <w:r>
        <w:t xml:space="preserve"> должна составлять 100 процентов.</w:t>
      </w:r>
    </w:p>
    <w:p w:rsidR="004B0407" w:rsidRDefault="004B0407">
      <w:pPr>
        <w:pStyle w:val="ConsPlusNormal"/>
        <w:ind w:firstLine="540"/>
        <w:jc w:val="both"/>
      </w:pPr>
      <w:r>
        <w:t>На основании изложенного, при наличии в документации о закупке показателей нестоимостного критерия, порядок оценки должен содержать:</w:t>
      </w:r>
    </w:p>
    <w:p w:rsidR="004B0407" w:rsidRDefault="004B0407">
      <w:pPr>
        <w:pStyle w:val="ConsPlusNormal"/>
        <w:ind w:firstLine="540"/>
        <w:jc w:val="both"/>
      </w:pPr>
      <w:r>
        <w:t xml:space="preserve">1) значимость в отношении каждого показателя, которая в соответствии с </w:t>
      </w:r>
      <w:hyperlink r:id="rId20" w:history="1">
        <w:r>
          <w:rPr>
            <w:color w:val="0000FF"/>
          </w:rPr>
          <w:t>пунктом 3</w:t>
        </w:r>
      </w:hyperlink>
      <w:r>
        <w:t xml:space="preserve"> Правил является выраженным в процентах весом показателя;</w:t>
      </w:r>
    </w:p>
    <w:p w:rsidR="004B0407" w:rsidRDefault="004B0407">
      <w:pPr>
        <w:pStyle w:val="ConsPlusNormal"/>
        <w:ind w:firstLine="540"/>
        <w:jc w:val="both"/>
      </w:pPr>
      <w:r>
        <w:t xml:space="preserve">2) сумму </w:t>
      </w:r>
      <w:proofErr w:type="gramStart"/>
      <w:r>
        <w:t>величин значимости показателей критерия оценки</w:t>
      </w:r>
      <w:proofErr w:type="gramEnd"/>
      <w:r>
        <w:t xml:space="preserve"> в размере 100 процентов;</w:t>
      </w:r>
    </w:p>
    <w:p w:rsidR="004B0407" w:rsidRDefault="004B0407">
      <w:pPr>
        <w:pStyle w:val="ConsPlusNormal"/>
        <w:ind w:firstLine="540"/>
        <w:jc w:val="both"/>
      </w:pPr>
      <w:r>
        <w:t>3) формулу расчета или шкалу количества баллов, предусматривающую присвоение по каждому показателю от 0 до 100 баллов (для дальнейшего умножения на коэффициент значимости показателя).</w:t>
      </w:r>
    </w:p>
    <w:p w:rsidR="004B0407" w:rsidRDefault="004B0407">
      <w:pPr>
        <w:pStyle w:val="ConsPlusNormal"/>
        <w:ind w:firstLine="540"/>
        <w:jc w:val="both"/>
      </w:pPr>
      <w:r>
        <w:t xml:space="preserve">Соблюдение вышеуказанных положений в совокупности позволит обеспечить применение предусмотренной </w:t>
      </w:r>
      <w:hyperlink r:id="rId21" w:history="1">
        <w:r>
          <w:rPr>
            <w:color w:val="0000FF"/>
          </w:rPr>
          <w:t>пунктом 11</w:t>
        </w:r>
      </w:hyperlink>
      <w:r>
        <w:t xml:space="preserve"> Правил 100-балльной шкалы по критерию (обеспечивается возможность присвоить лучшему предложению по критерию оценку в 100 баллов).</w:t>
      </w:r>
    </w:p>
    <w:p w:rsidR="004B0407" w:rsidRDefault="004B0407">
      <w:pPr>
        <w:pStyle w:val="ConsPlusNormal"/>
        <w:ind w:firstLine="540"/>
        <w:jc w:val="both"/>
      </w:pPr>
      <w:r>
        <w:t xml:space="preserve">В </w:t>
      </w:r>
      <w:hyperlink w:anchor="P44" w:history="1">
        <w:r>
          <w:rPr>
            <w:color w:val="0000FF"/>
          </w:rPr>
          <w:t>приложении</w:t>
        </w:r>
      </w:hyperlink>
      <w:r>
        <w:t xml:space="preserve"> приведен пример порядка оценки заявок, содержащего показатели нестоимостного критерия оценки заявок.</w:t>
      </w:r>
    </w:p>
    <w:p w:rsidR="004B0407" w:rsidRDefault="004B0407">
      <w:pPr>
        <w:pStyle w:val="ConsPlusNormal"/>
        <w:ind w:firstLine="540"/>
        <w:jc w:val="both"/>
      </w:pPr>
      <w:r>
        <w:t xml:space="preserve">3. </w:t>
      </w:r>
      <w:proofErr w:type="gramStart"/>
      <w:r>
        <w:t>В случае установления в документации о закупке показателя "опыт участника по успешной поставке товара, выполнению работ, оказанию услуг сопоставимого характера и объема" критерия "квалификация участников закупки" заказчик раскрывает содержание, определяющее сопоставимость имеющегося у участников закупки опыта по поставке товара, выполнению работ, оказанию услуг с предметом осуществляемой закупки, в том числе, указывает единицу измерения объема.</w:t>
      </w:r>
      <w:proofErr w:type="gramEnd"/>
    </w:p>
    <w:p w:rsidR="004B0407" w:rsidRDefault="004B0407">
      <w:pPr>
        <w:pStyle w:val="ConsPlusNormal"/>
        <w:ind w:firstLine="540"/>
        <w:jc w:val="both"/>
      </w:pPr>
      <w:r>
        <w:t>4. При установлении порядка оценки заявок на участие в закупке на выполнение строительных работ необходимо руководствоваться следующим.</w:t>
      </w:r>
    </w:p>
    <w:p w:rsidR="004B0407" w:rsidRDefault="004B0407">
      <w:pPr>
        <w:pStyle w:val="ConsPlusNormal"/>
        <w:ind w:firstLine="540"/>
        <w:jc w:val="both"/>
      </w:pPr>
      <w:r>
        <w:t xml:space="preserve">В соответствии с </w:t>
      </w:r>
      <w:hyperlink r:id="rId22" w:history="1">
        <w:r>
          <w:rPr>
            <w:color w:val="0000FF"/>
          </w:rPr>
          <w:t>пунктом 11</w:t>
        </w:r>
      </w:hyperlink>
      <w:r>
        <w:t xml:space="preserve"> Правил в случае осуществления закупки, по результатам которой заключается контракт, предусматривающий выполнение строительных работ, заказчик </w:t>
      </w:r>
      <w:r>
        <w:lastRenderedPageBreak/>
        <w:t xml:space="preserve">обязан установить показатель "опыт участника по успешной поставке товара, выполнению работ, оказанию услуг сопоставимого характера и объема" критерия "квалификация участников закупки", за исключением случая, предусмотренного </w:t>
      </w:r>
      <w:hyperlink r:id="rId23" w:history="1">
        <w:r>
          <w:rPr>
            <w:color w:val="0000FF"/>
          </w:rPr>
          <w:t>пунктом 30</w:t>
        </w:r>
      </w:hyperlink>
      <w:r>
        <w:t xml:space="preserve"> Правил. При этом значимость показателя должна составлять не менее 50 процентов значимости всех нестоимостных критериев оценки.</w:t>
      </w:r>
    </w:p>
    <w:p w:rsidR="004B0407" w:rsidRDefault="004B0407">
      <w:pPr>
        <w:pStyle w:val="ConsPlusNormal"/>
        <w:ind w:firstLine="540"/>
        <w:jc w:val="both"/>
      </w:pPr>
      <w:r>
        <w:t xml:space="preserve">Классификация строительных работ иерархическим методом и методом последовательного кодирования представлена в </w:t>
      </w:r>
      <w:hyperlink r:id="rId24" w:history="1">
        <w:r>
          <w:rPr>
            <w:color w:val="0000FF"/>
          </w:rPr>
          <w:t>45</w:t>
        </w:r>
      </w:hyperlink>
      <w:r>
        <w:t xml:space="preserve"> коде Общероссийского классификатора продукции по видам экономической деятельности (ОКПД) </w:t>
      </w:r>
      <w:proofErr w:type="gramStart"/>
      <w:r>
        <w:t>ОК</w:t>
      </w:r>
      <w:proofErr w:type="gramEnd"/>
      <w:r>
        <w:t xml:space="preserve"> 034-2007.</w:t>
      </w:r>
    </w:p>
    <w:p w:rsidR="004B0407" w:rsidRDefault="004B0407">
      <w:pPr>
        <w:pStyle w:val="ConsPlusNormal"/>
        <w:ind w:firstLine="540"/>
        <w:jc w:val="both"/>
      </w:pPr>
      <w:proofErr w:type="gramStart"/>
      <w:r>
        <w:t xml:space="preserve">Таким образом, заказчик при осуществлении закупки на выполнение любых работ, включенных в код </w:t>
      </w:r>
      <w:hyperlink r:id="rId25" w:history="1">
        <w:r>
          <w:rPr>
            <w:color w:val="0000FF"/>
          </w:rPr>
          <w:t>45</w:t>
        </w:r>
      </w:hyperlink>
      <w:r>
        <w:t xml:space="preserve"> ОКПД (за исключением случая, предусмотренного </w:t>
      </w:r>
      <w:hyperlink r:id="rId26" w:history="1">
        <w:r>
          <w:rPr>
            <w:color w:val="0000FF"/>
          </w:rPr>
          <w:t>пунктом 30</w:t>
        </w:r>
      </w:hyperlink>
      <w:r>
        <w:t xml:space="preserve"> Правил), устанавливает показатель "опыт участника по успешной поставке товара, выполнению работ, оказанию услуг сопоставимого характера и объема" критерия "квалификация участников закупки" со значимостью не менее 50 процентов значимости всех нестоимостных критериев оценки.</w:t>
      </w:r>
      <w:proofErr w:type="gramEnd"/>
    </w:p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jc w:val="right"/>
      </w:pPr>
      <w:r>
        <w:t>А.Ю.ЦАРИКОВСКИЙ</w:t>
      </w:r>
    </w:p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jc w:val="right"/>
      </w:pPr>
      <w:r>
        <w:t>Приложение</w:t>
      </w:r>
    </w:p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jc w:val="center"/>
      </w:pPr>
      <w:bookmarkStart w:id="0" w:name="P44"/>
      <w:bookmarkEnd w:id="0"/>
      <w:r>
        <w:t>ПРИМЕР ПОРЯДКА ОЦЕНКИ ЗАЯВОК</w:t>
      </w:r>
    </w:p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jc w:val="both"/>
      </w:pPr>
      <w:r>
        <w:t>1. Таблица N 1: Оценка по критериям оценки:</w:t>
      </w:r>
    </w:p>
    <w:p w:rsidR="004B0407" w:rsidRDefault="004B0407">
      <w:pPr>
        <w:sectPr w:rsidR="004B0407" w:rsidSect="00CB51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0407" w:rsidRDefault="004B040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0"/>
        <w:gridCol w:w="1832"/>
        <w:gridCol w:w="1238"/>
        <w:gridCol w:w="1620"/>
        <w:gridCol w:w="1620"/>
        <w:gridCol w:w="1620"/>
      </w:tblGrid>
      <w:tr w:rsidR="004B0407">
        <w:tc>
          <w:tcPr>
            <w:tcW w:w="1850" w:type="dxa"/>
          </w:tcPr>
          <w:p w:rsidR="004B0407" w:rsidRDefault="004B0407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1832" w:type="dxa"/>
          </w:tcPr>
          <w:p w:rsidR="004B0407" w:rsidRDefault="004B0407">
            <w:pPr>
              <w:pStyle w:val="ConsPlusNormal"/>
              <w:jc w:val="center"/>
            </w:pPr>
            <w:r>
              <w:t xml:space="preserve">Максимальная оценка в баллах по критерию </w:t>
            </w:r>
            <w:hyperlink w:anchor="P1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38" w:type="dxa"/>
          </w:tcPr>
          <w:p w:rsidR="004B0407" w:rsidRDefault="004B0407">
            <w:pPr>
              <w:pStyle w:val="ConsPlusNormal"/>
              <w:jc w:val="center"/>
            </w:pPr>
            <w:r>
              <w:t xml:space="preserve">Значимость критерия </w:t>
            </w:r>
            <w:hyperlink w:anchor="P10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620" w:type="dxa"/>
          </w:tcPr>
          <w:p w:rsidR="004B0407" w:rsidRDefault="004B0407">
            <w:pPr>
              <w:pStyle w:val="ConsPlusNormal"/>
              <w:jc w:val="center"/>
            </w:pPr>
            <w:r>
              <w:t>Коэффициент значимости</w:t>
            </w:r>
          </w:p>
        </w:tc>
        <w:tc>
          <w:tcPr>
            <w:tcW w:w="1620" w:type="dxa"/>
          </w:tcPr>
          <w:p w:rsidR="004B0407" w:rsidRDefault="004B0407">
            <w:pPr>
              <w:pStyle w:val="ConsPlusNormal"/>
              <w:jc w:val="center"/>
            </w:pPr>
            <w:r>
              <w:t>Максимальный рейтинг по критерию</w:t>
            </w:r>
          </w:p>
        </w:tc>
        <w:tc>
          <w:tcPr>
            <w:tcW w:w="1620" w:type="dxa"/>
          </w:tcPr>
          <w:p w:rsidR="004B0407" w:rsidRDefault="004B0407">
            <w:pPr>
              <w:pStyle w:val="ConsPlusNormal"/>
              <w:jc w:val="center"/>
            </w:pPr>
            <w:r>
              <w:t>Максимальный итоговый рейтинг</w:t>
            </w:r>
          </w:p>
        </w:tc>
      </w:tr>
      <w:tr w:rsidR="004B0407">
        <w:tc>
          <w:tcPr>
            <w:tcW w:w="1850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Критерий N 1 (</w:t>
            </w:r>
            <w:proofErr w:type="gramStart"/>
            <w:r>
              <w:t>стоимостной</w:t>
            </w:r>
            <w:proofErr w:type="gramEnd"/>
            <w:r>
              <w:t>)</w:t>
            </w:r>
          </w:p>
        </w:tc>
        <w:tc>
          <w:tcPr>
            <w:tcW w:w="1832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100 баллов</w:t>
            </w:r>
          </w:p>
        </w:tc>
        <w:tc>
          <w:tcPr>
            <w:tcW w:w="1238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60%</w:t>
            </w:r>
          </w:p>
        </w:tc>
        <w:tc>
          <w:tcPr>
            <w:tcW w:w="1620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620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60 баллов</w:t>
            </w:r>
          </w:p>
        </w:tc>
        <w:tc>
          <w:tcPr>
            <w:tcW w:w="1620" w:type="dxa"/>
            <w:vMerge w:val="restart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100 баллов</w:t>
            </w:r>
          </w:p>
        </w:tc>
      </w:tr>
      <w:tr w:rsidR="004B0407">
        <w:tc>
          <w:tcPr>
            <w:tcW w:w="1850" w:type="dxa"/>
            <w:vAlign w:val="center"/>
          </w:tcPr>
          <w:p w:rsidR="004B0407" w:rsidRDefault="004B0407">
            <w:pPr>
              <w:pStyle w:val="ConsPlusNormal"/>
              <w:jc w:val="center"/>
            </w:pPr>
            <w:bookmarkStart w:id="1" w:name="P60"/>
            <w:bookmarkEnd w:id="1"/>
            <w:r>
              <w:t>Критерий N 2 (нестоимостной)</w:t>
            </w:r>
          </w:p>
        </w:tc>
        <w:tc>
          <w:tcPr>
            <w:tcW w:w="1832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 xml:space="preserve">100 баллов </w:t>
            </w:r>
            <w:hyperlink w:anchor="P10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38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40%</w:t>
            </w:r>
          </w:p>
        </w:tc>
        <w:tc>
          <w:tcPr>
            <w:tcW w:w="1620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20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40 баллов</w:t>
            </w:r>
          </w:p>
        </w:tc>
        <w:tc>
          <w:tcPr>
            <w:tcW w:w="1620" w:type="dxa"/>
            <w:vMerge/>
          </w:tcPr>
          <w:p w:rsidR="004B0407" w:rsidRDefault="004B0407"/>
        </w:tc>
      </w:tr>
    </w:tbl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jc w:val="both"/>
      </w:pPr>
      <w:r>
        <w:t xml:space="preserve">2. Таблица N 2: Оценка по показателям </w:t>
      </w:r>
      <w:hyperlink w:anchor="P60" w:history="1">
        <w:r>
          <w:rPr>
            <w:color w:val="0000FF"/>
          </w:rPr>
          <w:t>Критерия N 2</w:t>
        </w:r>
      </w:hyperlink>
      <w:r>
        <w:t>:</w:t>
      </w:r>
    </w:p>
    <w:p w:rsidR="004B0407" w:rsidRDefault="004B040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0"/>
        <w:gridCol w:w="1832"/>
        <w:gridCol w:w="1415"/>
        <w:gridCol w:w="1552"/>
        <w:gridCol w:w="1814"/>
      </w:tblGrid>
      <w:tr w:rsidR="004B0407">
        <w:tc>
          <w:tcPr>
            <w:tcW w:w="1850" w:type="dxa"/>
          </w:tcPr>
          <w:p w:rsidR="004B0407" w:rsidRDefault="004B0407">
            <w:pPr>
              <w:pStyle w:val="ConsPlusNormal"/>
              <w:jc w:val="center"/>
            </w:pPr>
            <w:r>
              <w:t>Показатели Критерия N 2</w:t>
            </w:r>
          </w:p>
        </w:tc>
        <w:tc>
          <w:tcPr>
            <w:tcW w:w="1832" w:type="dxa"/>
          </w:tcPr>
          <w:p w:rsidR="004B0407" w:rsidRDefault="004B0407">
            <w:pPr>
              <w:pStyle w:val="ConsPlusNormal"/>
              <w:jc w:val="center"/>
            </w:pPr>
            <w:r>
              <w:t xml:space="preserve">Максимальная оценка в баллах по показателю </w:t>
            </w:r>
            <w:hyperlink w:anchor="P10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5" w:type="dxa"/>
          </w:tcPr>
          <w:p w:rsidR="004B0407" w:rsidRDefault="004B0407">
            <w:pPr>
              <w:pStyle w:val="ConsPlusNormal"/>
              <w:jc w:val="center"/>
            </w:pPr>
            <w:r>
              <w:t xml:space="preserve">Значимость показателя </w:t>
            </w:r>
            <w:hyperlink w:anchor="P105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552" w:type="dxa"/>
          </w:tcPr>
          <w:p w:rsidR="004B0407" w:rsidRDefault="004B0407">
            <w:pPr>
              <w:pStyle w:val="ConsPlusNormal"/>
              <w:jc w:val="center"/>
            </w:pPr>
            <w:bookmarkStart w:id="2" w:name="P71"/>
            <w:bookmarkEnd w:id="2"/>
            <w:r>
              <w:t>Коэффициент значимости</w:t>
            </w:r>
          </w:p>
        </w:tc>
        <w:tc>
          <w:tcPr>
            <w:tcW w:w="1814" w:type="dxa"/>
          </w:tcPr>
          <w:p w:rsidR="004B0407" w:rsidRDefault="004B0407">
            <w:pPr>
              <w:pStyle w:val="ConsPlusNormal"/>
              <w:jc w:val="center"/>
            </w:pPr>
            <w:bookmarkStart w:id="3" w:name="P72"/>
            <w:bookmarkEnd w:id="3"/>
            <w:r>
              <w:t>Максимальная оценка с учетом значимости показателя</w:t>
            </w:r>
          </w:p>
        </w:tc>
      </w:tr>
      <w:tr w:rsidR="004B0407">
        <w:tc>
          <w:tcPr>
            <w:tcW w:w="1850" w:type="dxa"/>
          </w:tcPr>
          <w:p w:rsidR="004B0407" w:rsidRDefault="004B04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4B0407" w:rsidRDefault="004B04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5" w:type="dxa"/>
          </w:tcPr>
          <w:p w:rsidR="004B0407" w:rsidRDefault="004B04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2" w:type="dxa"/>
          </w:tcPr>
          <w:p w:rsidR="004B0407" w:rsidRDefault="004B04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4B0407" w:rsidRDefault="004B0407">
            <w:pPr>
              <w:pStyle w:val="ConsPlusNormal"/>
              <w:jc w:val="center"/>
            </w:pPr>
            <w:r>
              <w:t>5</w:t>
            </w:r>
          </w:p>
        </w:tc>
      </w:tr>
      <w:tr w:rsidR="004B0407">
        <w:tc>
          <w:tcPr>
            <w:tcW w:w="1850" w:type="dxa"/>
            <w:vAlign w:val="center"/>
          </w:tcPr>
          <w:p w:rsidR="004B0407" w:rsidRDefault="004B0407">
            <w:pPr>
              <w:pStyle w:val="ConsPlusNormal"/>
              <w:jc w:val="center"/>
            </w:pPr>
            <w:bookmarkStart w:id="4" w:name="P78"/>
            <w:bookmarkEnd w:id="4"/>
            <w:r>
              <w:t>Показатель N 1</w:t>
            </w:r>
          </w:p>
        </w:tc>
        <w:tc>
          <w:tcPr>
            <w:tcW w:w="1832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100 баллов</w:t>
            </w:r>
          </w:p>
        </w:tc>
        <w:tc>
          <w:tcPr>
            <w:tcW w:w="1415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70%</w:t>
            </w:r>
          </w:p>
        </w:tc>
        <w:tc>
          <w:tcPr>
            <w:tcW w:w="1552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814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70 баллов</w:t>
            </w:r>
          </w:p>
        </w:tc>
      </w:tr>
      <w:tr w:rsidR="004B0407">
        <w:tc>
          <w:tcPr>
            <w:tcW w:w="1850" w:type="dxa"/>
            <w:vAlign w:val="center"/>
          </w:tcPr>
          <w:p w:rsidR="004B0407" w:rsidRDefault="004B0407">
            <w:pPr>
              <w:pStyle w:val="ConsPlusNormal"/>
              <w:jc w:val="center"/>
            </w:pPr>
            <w:bookmarkStart w:id="5" w:name="P83"/>
            <w:bookmarkEnd w:id="5"/>
            <w:r>
              <w:t>Показатель N 2</w:t>
            </w:r>
          </w:p>
        </w:tc>
        <w:tc>
          <w:tcPr>
            <w:tcW w:w="1832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100 баллов</w:t>
            </w:r>
          </w:p>
        </w:tc>
        <w:tc>
          <w:tcPr>
            <w:tcW w:w="1415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30%</w:t>
            </w:r>
          </w:p>
        </w:tc>
        <w:tc>
          <w:tcPr>
            <w:tcW w:w="1552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center"/>
          </w:tcPr>
          <w:p w:rsidR="004B0407" w:rsidRDefault="004B0407">
            <w:pPr>
              <w:pStyle w:val="ConsPlusNormal"/>
              <w:jc w:val="center"/>
            </w:pPr>
            <w:r>
              <w:t>30 баллов</w:t>
            </w:r>
          </w:p>
        </w:tc>
      </w:tr>
    </w:tbl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jc w:val="both"/>
      </w:pPr>
      <w:r>
        <w:t xml:space="preserve">3. Оценка по </w:t>
      </w:r>
      <w:hyperlink w:anchor="P78" w:history="1">
        <w:r>
          <w:rPr>
            <w:color w:val="0000FF"/>
          </w:rPr>
          <w:t>Показателям N 1</w:t>
        </w:r>
      </w:hyperlink>
      <w:r>
        <w:t xml:space="preserve"> и </w:t>
      </w:r>
      <w:hyperlink w:anchor="P83" w:history="1">
        <w:r>
          <w:rPr>
            <w:color w:val="0000FF"/>
          </w:rPr>
          <w:t>N 2</w:t>
        </w:r>
      </w:hyperlink>
      <w:r>
        <w:t xml:space="preserve"> </w:t>
      </w:r>
      <w:hyperlink w:anchor="P60" w:history="1">
        <w:r>
          <w:rPr>
            <w:color w:val="0000FF"/>
          </w:rPr>
          <w:t>Критерия N 2</w:t>
        </w:r>
      </w:hyperlink>
      <w:r>
        <w:t xml:space="preserve"> осуществляется либо по шкале, либо по формуле, установленной в </w:t>
      </w:r>
      <w:hyperlink r:id="rId27" w:history="1">
        <w:r>
          <w:rPr>
            <w:color w:val="0000FF"/>
          </w:rPr>
          <w:t>пунктах 20</w:t>
        </w:r>
      </w:hyperlink>
      <w:r>
        <w:t xml:space="preserve"> - </w:t>
      </w:r>
      <w:hyperlink r:id="rId28" w:history="1">
        <w:r>
          <w:rPr>
            <w:color w:val="0000FF"/>
          </w:rPr>
          <w:t>24</w:t>
        </w:r>
      </w:hyperlink>
      <w:r>
        <w:t xml:space="preserve"> Правил, например:</w:t>
      </w:r>
    </w:p>
    <w:p w:rsidR="004B0407" w:rsidRDefault="004B040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77"/>
      </w:tblGrid>
      <w:tr w:rsidR="004B0407"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07" w:rsidRDefault="004B0407">
            <w:pPr>
              <w:pStyle w:val="ConsPlusNormal"/>
              <w:jc w:val="center"/>
            </w:pPr>
            <w:r>
              <w:t>Оценка по показателю N 2 по формуле</w:t>
            </w:r>
          </w:p>
        </w:tc>
      </w:tr>
      <w:tr w:rsidR="004B0407">
        <w:tblPrEx>
          <w:tblBorders>
            <w:insideH w:val="none" w:sz="0" w:space="0" w:color="auto"/>
          </w:tblBorders>
        </w:tblPrEx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0407" w:rsidRDefault="004B0407">
            <w:pPr>
              <w:pStyle w:val="ConsPlusNormal"/>
              <w:jc w:val="both"/>
            </w:pPr>
            <w:r>
              <w:t xml:space="preserve">По </w:t>
            </w:r>
            <w:hyperlink w:anchor="P83" w:history="1">
              <w:r>
                <w:rPr>
                  <w:color w:val="0000FF"/>
                </w:rPr>
                <w:t>показателю N 2</w:t>
              </w:r>
            </w:hyperlink>
            <w:r>
              <w:t xml:space="preserve"> оценивается количество предоставленных участником закупки контрактов (договоров) (со всеми приложениями и актами выполненных работ) на выполнение любых строительных работ, цена которых превышает 100 000 рублей.</w:t>
            </w:r>
          </w:p>
        </w:tc>
      </w:tr>
      <w:tr w:rsidR="004B0407">
        <w:tblPrEx>
          <w:tblBorders>
            <w:insideH w:val="none" w:sz="0" w:space="0" w:color="auto"/>
          </w:tblBorders>
        </w:tblPrEx>
        <w:tc>
          <w:tcPr>
            <w:tcW w:w="10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407" w:rsidRDefault="004B0407">
            <w:pPr>
              <w:pStyle w:val="ConsPlusNormal"/>
              <w:jc w:val="center"/>
            </w:pPr>
            <w:r>
              <w:t>НЦБ</w:t>
            </w:r>
            <w:r>
              <w:rPr>
                <w:vertAlign w:val="subscript"/>
              </w:rPr>
              <w:t>i</w:t>
            </w:r>
            <w:r>
              <w:t xml:space="preserve"> = </w:t>
            </w:r>
            <w:proofErr w:type="gramStart"/>
            <w:r>
              <w:t>КЗ</w:t>
            </w:r>
            <w:proofErr w:type="gramEnd"/>
            <w:r>
              <w:t xml:space="preserve"> x 100 x (К</w:t>
            </w:r>
            <w:r>
              <w:rPr>
                <w:vertAlign w:val="subscript"/>
              </w:rPr>
              <w:t>i</w:t>
            </w:r>
            <w:r>
              <w:t xml:space="preserve"> / К</w:t>
            </w:r>
            <w:r>
              <w:rPr>
                <w:vertAlign w:val="subscript"/>
              </w:rPr>
              <w:t>max</w:t>
            </w:r>
            <w:r>
              <w:t>)</w:t>
            </w:r>
          </w:p>
        </w:tc>
      </w:tr>
      <w:tr w:rsidR="004B0407">
        <w:tblPrEx>
          <w:tblBorders>
            <w:insideH w:val="none" w:sz="0" w:space="0" w:color="auto"/>
          </w:tblBorders>
        </w:tblPrEx>
        <w:tc>
          <w:tcPr>
            <w:tcW w:w="10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07" w:rsidRDefault="004B0407">
            <w:pPr>
              <w:pStyle w:val="ConsPlusNormal"/>
              <w:jc w:val="both"/>
            </w:pPr>
            <w:proofErr w:type="gramStart"/>
            <w:r>
              <w:lastRenderedPageBreak/>
              <w:t>КЗ</w:t>
            </w:r>
            <w:proofErr w:type="gramEnd"/>
            <w:r>
              <w:t xml:space="preserve"> - коэффициент значимости показателя.</w:t>
            </w:r>
          </w:p>
          <w:p w:rsidR="004B0407" w:rsidRDefault="004B0407">
            <w:pPr>
              <w:pStyle w:val="ConsPlusNormal"/>
              <w:jc w:val="both"/>
            </w:pPr>
            <w:r>
              <w:t>К</w:t>
            </w:r>
            <w:proofErr w:type="gramStart"/>
            <w:r>
              <w:rPr>
                <w:vertAlign w:val="subscript"/>
              </w:rPr>
              <w:t>i</w:t>
            </w:r>
            <w:proofErr w:type="gramEnd"/>
            <w:r>
              <w:t xml:space="preserve"> - предложение участника закупки, заявка (предложение) которого оценивается;</w:t>
            </w:r>
          </w:p>
          <w:p w:rsidR="004B0407" w:rsidRDefault="004B0407">
            <w:pPr>
              <w:pStyle w:val="ConsPlusNormal"/>
              <w:jc w:val="both"/>
            </w:pPr>
            <w:proofErr w:type="gramStart"/>
            <w:r>
              <w:t>К</w:t>
            </w:r>
            <w:proofErr w:type="gramEnd"/>
            <w:r>
              <w:rPr>
                <w:vertAlign w:val="subscript"/>
              </w:rPr>
              <w:t>max</w:t>
            </w:r>
            <w:r>
              <w:t xml:space="preserve"> - максимальное предложение из предложений по критерию оценки, сделанных участниками закупки.</w:t>
            </w:r>
          </w:p>
        </w:tc>
      </w:tr>
      <w:tr w:rsidR="004B0407"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07" w:rsidRDefault="004B0407">
            <w:pPr>
              <w:pStyle w:val="ConsPlusNormal"/>
              <w:jc w:val="both"/>
            </w:pPr>
            <w:r>
              <w:t>ВНИМАНИЕ:</w:t>
            </w:r>
          </w:p>
          <w:p w:rsidR="004B0407" w:rsidRDefault="004B0407">
            <w:pPr>
              <w:pStyle w:val="ConsPlusNormal"/>
              <w:jc w:val="both"/>
            </w:pPr>
            <w:r>
              <w:t xml:space="preserve">Полученный результат расчета по формуле на коэффициент значимости, указанный в </w:t>
            </w:r>
            <w:hyperlink w:anchor="P71" w:history="1">
              <w:r>
                <w:rPr>
                  <w:color w:val="0000FF"/>
                </w:rPr>
                <w:t>столбце N 4</w:t>
              </w:r>
            </w:hyperlink>
            <w:r>
              <w:t xml:space="preserve"> Таблицы N 2, НЕ умножается, поскольку формула учитывает указанный коэффициент. Результат вычисления соответствует значению, указанному в </w:t>
            </w:r>
            <w:hyperlink w:anchor="P72" w:history="1">
              <w:r>
                <w:rPr>
                  <w:color w:val="0000FF"/>
                </w:rPr>
                <w:t>столбце N 5</w:t>
              </w:r>
            </w:hyperlink>
            <w:r>
              <w:t xml:space="preserve"> Таблицы N 2.</w:t>
            </w:r>
          </w:p>
        </w:tc>
      </w:tr>
    </w:tbl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ind w:firstLine="540"/>
        <w:jc w:val="both"/>
      </w:pPr>
      <w:r>
        <w:t>--------------------------------</w:t>
      </w:r>
    </w:p>
    <w:p w:rsidR="004B0407" w:rsidRDefault="004B0407">
      <w:pPr>
        <w:pStyle w:val="ConsPlusNormal"/>
        <w:ind w:firstLine="540"/>
        <w:jc w:val="both"/>
      </w:pPr>
      <w:bookmarkStart w:id="6" w:name="P101"/>
      <w:bookmarkEnd w:id="6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29" w:history="1">
        <w:r>
          <w:rPr>
            <w:color w:val="0000FF"/>
          </w:rPr>
          <w:t>пунктом 11</w:t>
        </w:r>
      </w:hyperlink>
      <w:r>
        <w:t xml:space="preserve"> Правил по каждому критерию используется 100-балльная шкала оценки.</w:t>
      </w:r>
    </w:p>
    <w:p w:rsidR="004B0407" w:rsidRDefault="004B0407">
      <w:pPr>
        <w:pStyle w:val="ConsPlusNormal"/>
        <w:ind w:firstLine="540"/>
        <w:jc w:val="both"/>
      </w:pPr>
      <w:bookmarkStart w:id="7" w:name="P102"/>
      <w:bookmarkEnd w:id="7"/>
      <w:r>
        <w:t xml:space="preserve">&lt;2&gt; Значимость устанавливается в соответствии с </w:t>
      </w:r>
      <w:hyperlink r:id="rId30" w:history="1">
        <w:r>
          <w:rPr>
            <w:color w:val="0000FF"/>
          </w:rPr>
          <w:t>Приложением</w:t>
        </w:r>
      </w:hyperlink>
      <w:r>
        <w:t xml:space="preserve"> к Правилам. В соответствии с </w:t>
      </w:r>
      <w:hyperlink r:id="rId31" w:history="1">
        <w:r>
          <w:rPr>
            <w:color w:val="0000FF"/>
          </w:rPr>
          <w:t>пунктом 9</w:t>
        </w:r>
      </w:hyperlink>
      <w:r>
        <w:t xml:space="preserve"> </w:t>
      </w:r>
      <w:proofErr w:type="gramStart"/>
      <w:r>
        <w:t>Правил</w:t>
      </w:r>
      <w:proofErr w:type="gramEnd"/>
      <w:r>
        <w:t xml:space="preserve"> сумма величин значимости критериев оценки составляет 100%.</w:t>
      </w:r>
    </w:p>
    <w:p w:rsidR="004B0407" w:rsidRDefault="004B0407">
      <w:pPr>
        <w:pStyle w:val="ConsPlusNormal"/>
        <w:ind w:firstLine="540"/>
        <w:jc w:val="both"/>
      </w:pPr>
      <w:bookmarkStart w:id="8" w:name="P103"/>
      <w:bookmarkEnd w:id="8"/>
      <w:r>
        <w:t xml:space="preserve">&lt;3&gt; Сумма баллов по </w:t>
      </w:r>
      <w:hyperlink w:anchor="P78" w:history="1">
        <w:r>
          <w:rPr>
            <w:color w:val="0000FF"/>
          </w:rPr>
          <w:t>Показателю N 1</w:t>
        </w:r>
      </w:hyperlink>
      <w:r>
        <w:t xml:space="preserve"> и </w:t>
      </w:r>
      <w:hyperlink w:anchor="P83" w:history="1">
        <w:r>
          <w:rPr>
            <w:color w:val="0000FF"/>
          </w:rPr>
          <w:t>Показателю N 2</w:t>
        </w:r>
      </w:hyperlink>
      <w:r>
        <w:t>.</w:t>
      </w:r>
    </w:p>
    <w:p w:rsidR="004B0407" w:rsidRDefault="004B0407">
      <w:pPr>
        <w:pStyle w:val="ConsPlusNormal"/>
        <w:ind w:firstLine="540"/>
        <w:jc w:val="both"/>
      </w:pPr>
      <w:bookmarkStart w:id="9" w:name="P104"/>
      <w:bookmarkEnd w:id="9"/>
      <w:r>
        <w:t>&lt;4</w:t>
      </w:r>
      <w:proofErr w:type="gramStart"/>
      <w:r>
        <w:t>&gt; В</w:t>
      </w:r>
      <w:proofErr w:type="gramEnd"/>
      <w:r>
        <w:t xml:space="preserve"> соответствии с </w:t>
      </w:r>
      <w:hyperlink r:id="rId32" w:history="1">
        <w:r>
          <w:rPr>
            <w:color w:val="0000FF"/>
          </w:rPr>
          <w:t>пунктом 11</w:t>
        </w:r>
      </w:hyperlink>
      <w:r>
        <w:t xml:space="preserve"> Правил участнику закупки, сделавшему лучшее предложение, присваивается 100 баллов.</w:t>
      </w:r>
    </w:p>
    <w:p w:rsidR="004B0407" w:rsidRDefault="004B0407">
      <w:pPr>
        <w:pStyle w:val="ConsPlusNormal"/>
        <w:ind w:firstLine="540"/>
        <w:jc w:val="both"/>
      </w:pPr>
      <w:bookmarkStart w:id="10" w:name="P105"/>
      <w:bookmarkEnd w:id="10"/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33" w:history="1">
        <w:r>
          <w:rPr>
            <w:color w:val="0000FF"/>
          </w:rPr>
          <w:t>пунктом 11</w:t>
        </w:r>
      </w:hyperlink>
      <w:r>
        <w:t xml:space="preserve"> Правил устанавливается значимость для каждого показателя, сумма величин значимости показателей составляет 100%.</w:t>
      </w:r>
    </w:p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jc w:val="both"/>
      </w:pPr>
    </w:p>
    <w:p w:rsidR="004B0407" w:rsidRDefault="004B04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4496" w:rsidRDefault="00574496">
      <w:bookmarkStart w:id="11" w:name="_GoBack"/>
      <w:bookmarkEnd w:id="11"/>
    </w:p>
    <w:sectPr w:rsidR="00574496" w:rsidSect="00DB7359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07"/>
    <w:rsid w:val="004B0407"/>
    <w:rsid w:val="0057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4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04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04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4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04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04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00DE88F1F0E6629CBA98A81B44B0564AD082FB8C55338D643C7071C6DF3A159DD296EAC9398C3O1j9F" TargetMode="External"/><Relationship Id="rId13" Type="http://schemas.openxmlformats.org/officeDocument/2006/relationships/hyperlink" Target="consultantplus://offline/ref=2D600DE88F1F0E6629CBA98A81B44B0564AF0B2BB9C45338D643C7071C6DF3A159DD296EAC939EC1O1jCF" TargetMode="External"/><Relationship Id="rId18" Type="http://schemas.openxmlformats.org/officeDocument/2006/relationships/hyperlink" Target="consultantplus://offline/ref=2D600DE88F1F0E6629CBA98A81B44B0564AF0B2BB9C45338D643C7071C6DF3A159DD296EAC939EC1O1jDF" TargetMode="External"/><Relationship Id="rId26" Type="http://schemas.openxmlformats.org/officeDocument/2006/relationships/hyperlink" Target="consultantplus://offline/ref=2D600DE88F1F0E6629CBA98A81B44B0564AF0B2BB9C45338D643C7071C6DF3A159DD296EAC939FC0O1j9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D600DE88F1F0E6629CBA98A81B44B0564AF0B2BB9C45338D643C7071C6DF3A159DD296EAC939EC1O1jD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D600DE88F1F0E6629CBA98A81B44B0564A20922B9C75338D643C7071C6DF3A159DD296EAC939FC7O1jDF" TargetMode="External"/><Relationship Id="rId12" Type="http://schemas.openxmlformats.org/officeDocument/2006/relationships/hyperlink" Target="consultantplus://offline/ref=2D600DE88F1F0E6629CBA98A81B44B0564AF0B2BB9C45338D643C7071C6DF3A159DD296EAC939EC0O1j8F" TargetMode="External"/><Relationship Id="rId17" Type="http://schemas.openxmlformats.org/officeDocument/2006/relationships/hyperlink" Target="consultantplus://offline/ref=2D600DE88F1F0E6629CBA98A81B44B0564AF0B2BB9C45338D643C7071C6DF3A159DD296EAC939EC3O1j9F" TargetMode="External"/><Relationship Id="rId25" Type="http://schemas.openxmlformats.org/officeDocument/2006/relationships/hyperlink" Target="consultantplus://offline/ref=2D600DE88F1F0E6629CBA98A81B44B0564AE0D2AB8C85338D643C7071C6DF3A159DD296EAF909EC5O1j9F" TargetMode="External"/><Relationship Id="rId33" Type="http://schemas.openxmlformats.org/officeDocument/2006/relationships/hyperlink" Target="consultantplus://offline/ref=2D600DE88F1F0E6629CBA98A81B44B0564AF0B2BB9C45338D643C7071C6DF3A159DD296EAC939EC1O1j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600DE88F1F0E6629CBA98A81B44B0564AF0B2BB9C45338D643C7071C6DF3A159DD296EAC939EC3O1j9F" TargetMode="External"/><Relationship Id="rId20" Type="http://schemas.openxmlformats.org/officeDocument/2006/relationships/hyperlink" Target="consultantplus://offline/ref=2D600DE88F1F0E6629CBA98A81B44B0564AF0B2BB9C45338D643C7071C6DF3A159DD296EAC939EC3O1jDF" TargetMode="External"/><Relationship Id="rId29" Type="http://schemas.openxmlformats.org/officeDocument/2006/relationships/hyperlink" Target="consultantplus://offline/ref=2D600DE88F1F0E6629CBA98A81B44B0564AF0B2BB9C45338D643C7071C6DF3A159DD296EAC939EC1O1j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600DE88F1F0E6629CBA98A81B44B0564AD082FB8C55338D643C7071CO6jDF" TargetMode="External"/><Relationship Id="rId11" Type="http://schemas.openxmlformats.org/officeDocument/2006/relationships/hyperlink" Target="consultantplus://offline/ref=2D600DE88F1F0E6629CBA98A81B44B0564AF0B2BB9C45338D643C7071CO6jDF" TargetMode="External"/><Relationship Id="rId24" Type="http://schemas.openxmlformats.org/officeDocument/2006/relationships/hyperlink" Target="consultantplus://offline/ref=2D600DE88F1F0E6629CBA98A81B44B0564AE0D2AB8C85338D643C7071C6DF3A159DD296EAF909EC5O1j9F" TargetMode="External"/><Relationship Id="rId32" Type="http://schemas.openxmlformats.org/officeDocument/2006/relationships/hyperlink" Target="consultantplus://offline/ref=2D600DE88F1F0E6629CBA98A81B44B0564AF0B2BB9C45338D643C7071C6DF3A159DD296EAC939EC1O1jD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D600DE88F1F0E6629CBA98A81B44B0564AF0B2BB9C45338D643C7071C6DF3A159DD296EAC939EC3O1jDF" TargetMode="External"/><Relationship Id="rId23" Type="http://schemas.openxmlformats.org/officeDocument/2006/relationships/hyperlink" Target="consultantplus://offline/ref=2D600DE88F1F0E6629CBA98A81B44B0564AF0B2BB9C45338D643C7071C6DF3A159DD296EAC939FC0O1j9F" TargetMode="External"/><Relationship Id="rId28" Type="http://schemas.openxmlformats.org/officeDocument/2006/relationships/hyperlink" Target="consultantplus://offline/ref=2D600DE88F1F0E6629CBA98A81B44B0564AF0B2BB9C45338D643C7071C6DF3A159DD296EAC939ECBO1j2F" TargetMode="External"/><Relationship Id="rId10" Type="http://schemas.openxmlformats.org/officeDocument/2006/relationships/hyperlink" Target="consultantplus://offline/ref=2D600DE88F1F0E6629CBA98A81B44B0564AD082FB8C55338D643C7071C6DF3A159DD296EAC9299C3O1j9F" TargetMode="External"/><Relationship Id="rId19" Type="http://schemas.openxmlformats.org/officeDocument/2006/relationships/hyperlink" Target="consultantplus://offline/ref=2D600DE88F1F0E6629CBA98A81B44B0564AF0B2BB9C45338D643C7071C6DF3A159DD296EAC939EC1O1jCF" TargetMode="External"/><Relationship Id="rId31" Type="http://schemas.openxmlformats.org/officeDocument/2006/relationships/hyperlink" Target="consultantplus://offline/ref=2D600DE88F1F0E6629CBA98A81B44B0564AF0B2BB9C45338D643C7071C6DF3A159DD296EAC939EC1O1j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600DE88F1F0E6629CBA98A81B44B0564AD082FB8C55338D643C7071C6DF3A159DD296EAC929FC3O1j2F" TargetMode="External"/><Relationship Id="rId14" Type="http://schemas.openxmlformats.org/officeDocument/2006/relationships/hyperlink" Target="consultantplus://offline/ref=2D600DE88F1F0E6629CBA98A81B44B0564AF0B2BB9C45338D643C7071C6DF3A159DD296EAC939EC1O1jEF" TargetMode="External"/><Relationship Id="rId22" Type="http://schemas.openxmlformats.org/officeDocument/2006/relationships/hyperlink" Target="consultantplus://offline/ref=2D600DE88F1F0E6629CBA98A81B44B0564AF0B2BB9C45338D643C7071C6DF3A159DD296EAC939EC1O1jDF" TargetMode="External"/><Relationship Id="rId27" Type="http://schemas.openxmlformats.org/officeDocument/2006/relationships/hyperlink" Target="consultantplus://offline/ref=2D600DE88F1F0E6629CBA98A81B44B0564AF0B2BB9C45338D643C7071C6DF3A159DD296EAC939EC5O1jBF" TargetMode="External"/><Relationship Id="rId30" Type="http://schemas.openxmlformats.org/officeDocument/2006/relationships/hyperlink" Target="consultantplus://offline/ref=2D600DE88F1F0E6629CBA98A81B44B0564AF0B2BB9C45338D643C7071C6DF3A159DD296EAC939FC0O1jF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2015-12-10T05:35:00Z</dcterms:created>
  <dcterms:modified xsi:type="dcterms:W3CDTF">2015-12-10T05:35:00Z</dcterms:modified>
</cp:coreProperties>
</file>